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43907"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Dear Editor,</w:t>
      </w:r>
    </w:p>
    <w:p w14:paraId="198C7EC3" w14:textId="77777777" w:rsidR="00D7612E" w:rsidRPr="00D7612E" w:rsidRDefault="00D7612E" w:rsidP="00D7612E">
      <w:pPr>
        <w:rPr>
          <w:rFonts w:ascii="Times New Roman" w:hAnsi="Times New Roman" w:cs="Times New Roman" w:hint="eastAsia"/>
          <w:sz w:val="21"/>
          <w:szCs w:val="21"/>
        </w:rPr>
      </w:pPr>
    </w:p>
    <w:p w14:paraId="7EFDE495" w14:textId="22193B13" w:rsidR="00D7612E" w:rsidRDefault="00D7612E" w:rsidP="00D7612E">
      <w:pPr>
        <w:rPr>
          <w:rFonts w:ascii="Times New Roman" w:hAnsi="Times New Roman" w:cs="Times New Roman"/>
          <w:sz w:val="21"/>
          <w:szCs w:val="21"/>
        </w:rPr>
      </w:pPr>
      <w:r w:rsidRPr="00D7612E">
        <w:rPr>
          <w:rFonts w:ascii="Times New Roman" w:hAnsi="Times New Roman" w:cs="Times New Roman" w:hint="eastAsia"/>
          <w:sz w:val="21"/>
          <w:szCs w:val="21"/>
        </w:rPr>
        <w:t>I am pleased to submit our original research manuscript entitled "</w:t>
      </w:r>
      <w:r w:rsidRPr="00D7612E">
        <w:rPr>
          <w:rFonts w:ascii="Times New Roman" w:hAnsi="Times New Roman" w:cs="Times New Roman" w:hint="eastAsia"/>
          <w:b/>
          <w:bCs/>
          <w:sz w:val="21"/>
          <w:szCs w:val="21"/>
        </w:rPr>
        <w:t>Prognostic Nutritional Index as a Graded Predictor of Short- and Long-Term Mortality in Patients with Pulmonary Hypertension: A Retrospective Cohort Study</w:t>
      </w:r>
      <w:r w:rsidRPr="00D7612E">
        <w:rPr>
          <w:rFonts w:ascii="Times New Roman" w:hAnsi="Times New Roman" w:cs="Times New Roman" w:hint="eastAsia"/>
          <w:sz w:val="21"/>
          <w:szCs w:val="21"/>
        </w:rPr>
        <w:t>" for consideration in BMC Pulmonary Medicine. As a pediatric cardiologist with long-standing dedication to pulmonary hypertension (PH) research, I believe this work aligns well with the journal</w:t>
      </w:r>
      <w:proofErr w:type="gramStart"/>
      <w:r w:rsidRPr="00D7612E">
        <w:rPr>
          <w:rFonts w:ascii="Times New Roman" w:hAnsi="Times New Roman" w:cs="Times New Roman" w:hint="eastAsia"/>
          <w:sz w:val="21"/>
          <w:szCs w:val="21"/>
        </w:rPr>
        <w:t>’</w:t>
      </w:r>
      <w:proofErr w:type="gramEnd"/>
      <w:r w:rsidRPr="00D7612E">
        <w:rPr>
          <w:rFonts w:ascii="Times New Roman" w:hAnsi="Times New Roman" w:cs="Times New Roman" w:hint="eastAsia"/>
          <w:sz w:val="21"/>
          <w:szCs w:val="21"/>
        </w:rPr>
        <w:t>s scope of advancing clinical understanding of pulmonary vascular diseases, risk stratification, and the integration of modifiable factors such as nutritional status into respiratory and cardiovascular care.</w:t>
      </w:r>
    </w:p>
    <w:p w14:paraId="2DDB5C64" w14:textId="77777777" w:rsidR="00D7612E" w:rsidRPr="00D7612E" w:rsidRDefault="00D7612E" w:rsidP="00D7612E">
      <w:pPr>
        <w:rPr>
          <w:rFonts w:ascii="Times New Roman" w:hAnsi="Times New Roman" w:cs="Times New Roman" w:hint="eastAsia"/>
          <w:sz w:val="21"/>
          <w:szCs w:val="21"/>
        </w:rPr>
      </w:pPr>
    </w:p>
    <w:p w14:paraId="6D37270E" w14:textId="77777777" w:rsidR="00D7612E" w:rsidRPr="00D7612E" w:rsidRDefault="00D7612E" w:rsidP="00D7612E">
      <w:pPr>
        <w:rPr>
          <w:rFonts w:ascii="Times New Roman" w:hAnsi="Times New Roman" w:cs="Times New Roman" w:hint="eastAsia"/>
          <w:b/>
          <w:bCs/>
          <w:sz w:val="21"/>
          <w:szCs w:val="21"/>
        </w:rPr>
      </w:pPr>
      <w:r w:rsidRPr="00D7612E">
        <w:rPr>
          <w:rFonts w:ascii="Times New Roman" w:hAnsi="Times New Roman" w:cs="Times New Roman" w:hint="eastAsia"/>
          <w:b/>
          <w:bCs/>
          <w:sz w:val="21"/>
          <w:szCs w:val="21"/>
        </w:rPr>
        <w:t>Research Background</w:t>
      </w:r>
    </w:p>
    <w:p w14:paraId="77E238E5"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Pulmonary hypertension is a progressive cardiopulmonary disorder with poor prognosis. Malnutrition, highly prevalent in PH due to right ventricular dysfunction, gastrointestinal congestion, and hypermetabolic state, is increasingly recognized as a critical yet modifiable determinant of adverse outcomes. The Prognostic Nutritional Index (PNI), derived from serum albumin and lymphocyte count, integrates both nutritional status and systemic inflammation into a single objective measure. While preliminary evidence suggests its prognostic value in small idiopathic PAH cohorts, large-scale validation across a broad PH population and multiple timepoints is lacking. Our study, using real-world data from the MIMIC-IV database, addresses this nutritional gap by systematically examining the dose</w:t>
      </w:r>
      <w:r w:rsidRPr="00D7612E">
        <w:rPr>
          <w:rFonts w:ascii="Times New Roman" w:hAnsi="Times New Roman" w:cs="Times New Roman" w:hint="eastAsia"/>
          <w:sz w:val="21"/>
          <w:szCs w:val="21"/>
        </w:rPr>
        <w:t>–</w:t>
      </w:r>
      <w:r w:rsidRPr="00D7612E">
        <w:rPr>
          <w:rFonts w:ascii="Times New Roman" w:hAnsi="Times New Roman" w:cs="Times New Roman" w:hint="eastAsia"/>
          <w:sz w:val="21"/>
          <w:szCs w:val="21"/>
        </w:rPr>
        <w:t>response relationship between PNI and both short- and long-term mortality, offering practical guidance for nutrition-based risk stratification in PH.</w:t>
      </w:r>
    </w:p>
    <w:p w14:paraId="3CADB04A" w14:textId="77777777" w:rsidR="00D7612E" w:rsidRPr="00D7612E" w:rsidRDefault="00D7612E" w:rsidP="00D7612E">
      <w:pPr>
        <w:rPr>
          <w:rFonts w:ascii="Times New Roman" w:hAnsi="Times New Roman" w:cs="Times New Roman" w:hint="eastAsia"/>
          <w:sz w:val="21"/>
          <w:szCs w:val="21"/>
        </w:rPr>
      </w:pPr>
    </w:p>
    <w:p w14:paraId="6E50CD8A" w14:textId="77777777" w:rsidR="00D7612E" w:rsidRPr="00D7612E" w:rsidRDefault="00D7612E" w:rsidP="00D7612E">
      <w:pPr>
        <w:rPr>
          <w:rFonts w:ascii="Times New Roman" w:hAnsi="Times New Roman" w:cs="Times New Roman" w:hint="eastAsia"/>
          <w:b/>
          <w:bCs/>
          <w:sz w:val="21"/>
          <w:szCs w:val="21"/>
        </w:rPr>
      </w:pPr>
      <w:r w:rsidRPr="00D7612E">
        <w:rPr>
          <w:rFonts w:ascii="Times New Roman" w:hAnsi="Times New Roman" w:cs="Times New Roman" w:hint="eastAsia"/>
          <w:b/>
          <w:bCs/>
          <w:sz w:val="21"/>
          <w:szCs w:val="21"/>
        </w:rPr>
        <w:t>Research Purpose</w:t>
      </w:r>
    </w:p>
    <w:p w14:paraId="2CEA0BFD"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The primary objective was to evaluate the independent association between PNI and all-cause mortality in a heterogeneous PH cohort, spanning in-hospital, 30-day, 1-year, and 5-year outcomes. We further aimed to determine whether PNI provides additive prognostic value beyond conventional severity scores and whether its predictive significance remains consistent across clinical subgroups. These findings are intended to inform the integration of routine nutritional screening into PH management, facilitating timely and individualized interventions.</w:t>
      </w:r>
    </w:p>
    <w:p w14:paraId="29DAAF45" w14:textId="77777777" w:rsidR="00D7612E" w:rsidRPr="00D7612E" w:rsidRDefault="00D7612E" w:rsidP="00D7612E">
      <w:pPr>
        <w:rPr>
          <w:rFonts w:ascii="Times New Roman" w:hAnsi="Times New Roman" w:cs="Times New Roman" w:hint="eastAsia"/>
          <w:sz w:val="21"/>
          <w:szCs w:val="21"/>
        </w:rPr>
      </w:pPr>
    </w:p>
    <w:p w14:paraId="4582B30C" w14:textId="77777777" w:rsidR="00D7612E" w:rsidRPr="00D7612E" w:rsidRDefault="00D7612E" w:rsidP="00D7612E">
      <w:pPr>
        <w:rPr>
          <w:rFonts w:ascii="Times New Roman" w:hAnsi="Times New Roman" w:cs="Times New Roman" w:hint="eastAsia"/>
          <w:b/>
          <w:bCs/>
          <w:sz w:val="21"/>
          <w:szCs w:val="21"/>
        </w:rPr>
      </w:pPr>
      <w:r w:rsidRPr="00D7612E">
        <w:rPr>
          <w:rFonts w:ascii="Times New Roman" w:hAnsi="Times New Roman" w:cs="Times New Roman" w:hint="eastAsia"/>
          <w:b/>
          <w:bCs/>
          <w:sz w:val="21"/>
          <w:szCs w:val="21"/>
        </w:rPr>
        <w:t>Research Methods</w:t>
      </w:r>
    </w:p>
    <w:p w14:paraId="421BAA0D" w14:textId="77777777" w:rsidR="00D7612E" w:rsidRPr="00D7612E" w:rsidRDefault="00D7612E" w:rsidP="00D7612E">
      <w:pPr>
        <w:rPr>
          <w:rFonts w:ascii="Times New Roman" w:hAnsi="Times New Roman" w:cs="Times New Roman"/>
          <w:sz w:val="21"/>
          <w:szCs w:val="21"/>
        </w:rPr>
      </w:pPr>
      <w:r w:rsidRPr="00D7612E">
        <w:rPr>
          <w:rFonts w:ascii="Times New Roman" w:hAnsi="Times New Roman" w:cs="Times New Roman" w:hint="eastAsia"/>
          <w:sz w:val="21"/>
          <w:szCs w:val="21"/>
        </w:rPr>
        <w:t xml:space="preserve">This retrospective cohort study analyzed 1,317 adult PH patients identified from the MIMIC-IV </w:t>
      </w:r>
      <w:r w:rsidRPr="00D7612E">
        <w:rPr>
          <w:rFonts w:ascii="Times New Roman" w:hAnsi="Times New Roman" w:cs="Times New Roman" w:hint="eastAsia"/>
          <w:sz w:val="21"/>
          <w:szCs w:val="21"/>
        </w:rPr>
        <w:lastRenderedPageBreak/>
        <w:t>database (2008</w:t>
      </w:r>
      <w:r w:rsidRPr="00D7612E">
        <w:rPr>
          <w:rFonts w:ascii="Times New Roman" w:hAnsi="Times New Roman" w:cs="Times New Roman" w:hint="eastAsia"/>
          <w:sz w:val="21"/>
          <w:szCs w:val="21"/>
        </w:rPr>
        <w:t>–</w:t>
      </w:r>
      <w:r w:rsidRPr="00D7612E">
        <w:rPr>
          <w:rFonts w:ascii="Times New Roman" w:hAnsi="Times New Roman" w:cs="Times New Roman" w:hint="eastAsia"/>
          <w:sz w:val="21"/>
          <w:szCs w:val="21"/>
        </w:rPr>
        <w:t>2022) using ICD codes. Patients were stratified by PNI into three nutritional risk groups (&lt;33, 33</w:t>
      </w:r>
      <w:r w:rsidRPr="00D7612E">
        <w:rPr>
          <w:rFonts w:ascii="Times New Roman" w:hAnsi="Times New Roman" w:cs="Times New Roman" w:hint="eastAsia"/>
          <w:sz w:val="21"/>
          <w:szCs w:val="21"/>
        </w:rPr>
        <w:t>–</w:t>
      </w:r>
      <w:r w:rsidRPr="00D7612E">
        <w:rPr>
          <w:rFonts w:ascii="Times New Roman" w:hAnsi="Times New Roman" w:cs="Times New Roman" w:hint="eastAsia"/>
          <w:sz w:val="21"/>
          <w:szCs w:val="21"/>
        </w:rPr>
        <w:t xml:space="preserve">&lt;42, and </w:t>
      </w:r>
      <w:r w:rsidRPr="00D7612E">
        <w:rPr>
          <w:rFonts w:ascii="Times New Roman" w:hAnsi="Times New Roman" w:cs="Times New Roman" w:hint="eastAsia"/>
          <w:sz w:val="21"/>
          <w:szCs w:val="21"/>
        </w:rPr>
        <w:t>≥</w:t>
      </w:r>
      <w:r w:rsidRPr="00D7612E">
        <w:rPr>
          <w:rFonts w:ascii="Times New Roman" w:hAnsi="Times New Roman" w:cs="Times New Roman" w:hint="eastAsia"/>
          <w:sz w:val="21"/>
          <w:szCs w:val="21"/>
        </w:rPr>
        <w:t>42). The primary endpoint was 1-year all-cause mortality; secondary endpoints included in-hospital death, 30-day mortality, 5-year mortality, and hospital length of stay. Multivariable Cox regression models were constructed adjusting for 21 confounders, including SAPS II scores, Charlson Comor</w:t>
      </w:r>
      <w:r w:rsidRPr="00D7612E">
        <w:rPr>
          <w:rFonts w:ascii="Times New Roman" w:hAnsi="Times New Roman" w:cs="Times New Roman"/>
          <w:sz w:val="21"/>
          <w:szCs w:val="21"/>
        </w:rPr>
        <w:t>bidity Index, vital signs, and laboratory indicators. Robustness was ensured through multiple imputation, Kaplan‑Meier survival analysis, ROC curve assessments with DeLong’s test, and formal interaction testing. The study was ethically exempted due to the use of de‑identified data.</w:t>
      </w:r>
    </w:p>
    <w:p w14:paraId="3A5794A2" w14:textId="77777777" w:rsidR="00D7612E" w:rsidRPr="00D7612E" w:rsidRDefault="00D7612E" w:rsidP="00D7612E">
      <w:pPr>
        <w:rPr>
          <w:rFonts w:ascii="Times New Roman" w:hAnsi="Times New Roman" w:cs="Times New Roman" w:hint="eastAsia"/>
          <w:sz w:val="21"/>
          <w:szCs w:val="21"/>
        </w:rPr>
      </w:pPr>
    </w:p>
    <w:p w14:paraId="4CEDD182" w14:textId="77777777" w:rsidR="00D7612E" w:rsidRPr="00D7612E" w:rsidRDefault="00D7612E" w:rsidP="00D7612E">
      <w:pPr>
        <w:rPr>
          <w:rFonts w:ascii="Times New Roman" w:hAnsi="Times New Roman" w:cs="Times New Roman" w:hint="eastAsia"/>
          <w:b/>
          <w:bCs/>
          <w:sz w:val="21"/>
          <w:szCs w:val="21"/>
        </w:rPr>
      </w:pPr>
      <w:r w:rsidRPr="00D7612E">
        <w:rPr>
          <w:rFonts w:ascii="Times New Roman" w:hAnsi="Times New Roman" w:cs="Times New Roman" w:hint="eastAsia"/>
          <w:b/>
          <w:bCs/>
          <w:sz w:val="21"/>
          <w:szCs w:val="21"/>
        </w:rPr>
        <w:t>Research Results</w:t>
      </w:r>
    </w:p>
    <w:p w14:paraId="5A8B4D14"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PNI demonstrated a robust, inverse and graded association with mortality across all timeframes. Compared with the low PNI group (&lt;33), the high PNI group (</w:t>
      </w:r>
      <w:r w:rsidRPr="00D7612E">
        <w:rPr>
          <w:rFonts w:ascii="Times New Roman" w:hAnsi="Times New Roman" w:cs="Times New Roman" w:hint="eastAsia"/>
          <w:sz w:val="21"/>
          <w:szCs w:val="21"/>
        </w:rPr>
        <w:t>≥</w:t>
      </w:r>
      <w:r w:rsidRPr="00D7612E">
        <w:rPr>
          <w:rFonts w:ascii="Times New Roman" w:hAnsi="Times New Roman" w:cs="Times New Roman" w:hint="eastAsia"/>
          <w:sz w:val="21"/>
          <w:szCs w:val="21"/>
        </w:rPr>
        <w:t>42) showed an adjusted 58% reduction</w:t>
      </w:r>
      <w:proofErr w:type="gramStart"/>
      <w:r w:rsidRPr="00D7612E">
        <w:rPr>
          <w:rFonts w:ascii="Times New Roman" w:hAnsi="Times New Roman" w:cs="Times New Roman" w:hint="eastAsia"/>
          <w:sz w:val="21"/>
          <w:szCs w:val="21"/>
        </w:rPr>
        <w:t xml:space="preserve"> in in</w:t>
      </w:r>
      <w:proofErr w:type="gramEnd"/>
      <w:r w:rsidRPr="00D7612E">
        <w:rPr>
          <w:rFonts w:ascii="Times New Roman" w:hAnsi="Times New Roman" w:cs="Times New Roman" w:hint="eastAsia"/>
          <w:sz w:val="21"/>
          <w:szCs w:val="21"/>
        </w:rPr>
        <w:t>-hospital mortality risk (adjusted OR 0.42, 95% CI 0.27</w:t>
      </w:r>
      <w:r w:rsidRPr="00D7612E">
        <w:rPr>
          <w:rFonts w:ascii="Times New Roman" w:hAnsi="Times New Roman" w:cs="Times New Roman" w:hint="eastAsia"/>
          <w:sz w:val="21"/>
          <w:szCs w:val="21"/>
        </w:rPr>
        <w:t>–</w:t>
      </w:r>
      <w:r w:rsidRPr="00D7612E">
        <w:rPr>
          <w:rFonts w:ascii="Times New Roman" w:hAnsi="Times New Roman" w:cs="Times New Roman" w:hint="eastAsia"/>
          <w:sz w:val="21"/>
          <w:szCs w:val="21"/>
        </w:rPr>
        <w:t>0.66), a 52% reduction in 30-day mortality risk (adjusted HR 0.48, 95% CI 0.35</w:t>
      </w:r>
      <w:r w:rsidRPr="00D7612E">
        <w:rPr>
          <w:rFonts w:ascii="Times New Roman" w:hAnsi="Times New Roman" w:cs="Times New Roman" w:hint="eastAsia"/>
          <w:sz w:val="21"/>
          <w:szCs w:val="21"/>
        </w:rPr>
        <w:t>–</w:t>
      </w:r>
      <w:r w:rsidRPr="00D7612E">
        <w:rPr>
          <w:rFonts w:ascii="Times New Roman" w:hAnsi="Times New Roman" w:cs="Times New Roman" w:hint="eastAsia"/>
          <w:sz w:val="21"/>
          <w:szCs w:val="21"/>
        </w:rPr>
        <w:t>0.67), and a 43% reduction in 1-year mortality risk (adjusted HR 0.57, 95% CI 0.46</w:t>
      </w:r>
      <w:r w:rsidRPr="00D7612E">
        <w:rPr>
          <w:rFonts w:ascii="Times New Roman" w:hAnsi="Times New Roman" w:cs="Times New Roman" w:hint="eastAsia"/>
          <w:sz w:val="21"/>
          <w:szCs w:val="21"/>
        </w:rPr>
        <w:t>–</w:t>
      </w:r>
      <w:r w:rsidRPr="00D7612E">
        <w:rPr>
          <w:rFonts w:ascii="Times New Roman" w:hAnsi="Times New Roman" w:cs="Times New Roman" w:hint="eastAsia"/>
          <w:sz w:val="21"/>
          <w:szCs w:val="21"/>
        </w:rPr>
        <w:t>0.72). Each incremental improvement in PNI category was associated with a 31% lower risk of 30-d</w:t>
      </w:r>
      <w:r w:rsidRPr="00D7612E">
        <w:rPr>
          <w:rFonts w:ascii="Times New Roman" w:hAnsi="Times New Roman" w:cs="Times New Roman"/>
          <w:sz w:val="21"/>
          <w:szCs w:val="21"/>
        </w:rPr>
        <w:t>ay mortality (adjusted HR 0.69) and a 25% lower risk of 1-year mortality (adjusted HR 0.75). Kaplan‑Meier analysis revealed significant survival divergence persisting through 5‑year follow‑up (all log‑rank P &lt; 0.0001). Incorporating PNI into the SAPS II score significantly improved discriminative accuracy for both in‑hospital mortality (AUC 0.742 vs. 0.730, P=0.041) and 30‑day mortality (AUC 0.726 vs. 0.714, P=0.049). The protective effect remained consistent across sex, age, and disease severity subgroups.</w:t>
      </w:r>
    </w:p>
    <w:p w14:paraId="2D18E4D7" w14:textId="77777777" w:rsidR="00D7612E" w:rsidRPr="00D7612E" w:rsidRDefault="00D7612E" w:rsidP="00D7612E">
      <w:pPr>
        <w:rPr>
          <w:rFonts w:ascii="Times New Roman" w:hAnsi="Times New Roman" w:cs="Times New Roman" w:hint="eastAsia"/>
          <w:sz w:val="21"/>
          <w:szCs w:val="21"/>
        </w:rPr>
      </w:pPr>
    </w:p>
    <w:p w14:paraId="2F0FC726" w14:textId="77777777" w:rsidR="00D7612E" w:rsidRPr="00D7612E" w:rsidRDefault="00D7612E" w:rsidP="00D7612E">
      <w:pPr>
        <w:rPr>
          <w:rFonts w:ascii="Times New Roman" w:hAnsi="Times New Roman" w:cs="Times New Roman" w:hint="eastAsia"/>
          <w:b/>
          <w:bCs/>
          <w:sz w:val="21"/>
          <w:szCs w:val="21"/>
        </w:rPr>
      </w:pPr>
      <w:r w:rsidRPr="00D7612E">
        <w:rPr>
          <w:rFonts w:ascii="Times New Roman" w:hAnsi="Times New Roman" w:cs="Times New Roman" w:hint="eastAsia"/>
          <w:b/>
          <w:bCs/>
          <w:sz w:val="21"/>
          <w:szCs w:val="21"/>
        </w:rPr>
        <w:t>Key Innovations and Differences from Published Studies</w:t>
      </w:r>
    </w:p>
    <w:p w14:paraId="0B57DBBE"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sz w:val="21"/>
          <w:szCs w:val="21"/>
        </w:rPr>
        <w:t>To our knowledge, this is the largest and longest‑followed study to systematically evaluate PNI—a composite nutritional‑inflammatory index—in a broad PH population. Previous studies were restricted to small IPAH samples or composite endpoints. Our work is the first to delineate a clear dose‑response gradient between PNI and mortality at multiple discrete timepoints up to 5 years. Importantly, we demonstrate that PNI adds incremental predictive value to the SAPS II severity score, an aspect largely unexplored in PH research. These findings provide an evidence‑based, cost‑effective nutritional assessment tool that can be seamlessly incorporated into routine clinical practice to identify high‑risk PH patients who may benefit most from targeted nutritional suppo</w:t>
      </w:r>
      <w:r w:rsidRPr="00D7612E">
        <w:rPr>
          <w:rFonts w:ascii="Times New Roman" w:hAnsi="Times New Roman" w:cs="Times New Roman" w:hint="eastAsia"/>
          <w:sz w:val="21"/>
          <w:szCs w:val="21"/>
        </w:rPr>
        <w:t>rt. We believe this work is highly relevant to the readership of BMC Pulmonary Medicine, as it addresses a practical, modifiable predictor of prognosis in a severe pulmonary vascular disease.</w:t>
      </w:r>
    </w:p>
    <w:p w14:paraId="4495C0D2" w14:textId="77777777" w:rsidR="00D7612E" w:rsidRPr="00D7612E" w:rsidRDefault="00D7612E" w:rsidP="00D7612E">
      <w:pPr>
        <w:rPr>
          <w:rFonts w:ascii="Times New Roman" w:hAnsi="Times New Roman" w:cs="Times New Roman" w:hint="eastAsia"/>
          <w:sz w:val="21"/>
          <w:szCs w:val="21"/>
        </w:rPr>
      </w:pPr>
    </w:p>
    <w:p w14:paraId="401305FD" w14:textId="77777777" w:rsidR="00D7612E" w:rsidRPr="00D7612E" w:rsidRDefault="00D7612E" w:rsidP="00D7612E">
      <w:pPr>
        <w:rPr>
          <w:rFonts w:ascii="Times New Roman" w:hAnsi="Times New Roman" w:cs="Times New Roman" w:hint="eastAsia"/>
          <w:b/>
          <w:bCs/>
          <w:sz w:val="21"/>
          <w:szCs w:val="21"/>
        </w:rPr>
      </w:pPr>
      <w:r w:rsidRPr="00D7612E">
        <w:rPr>
          <w:rFonts w:ascii="Times New Roman" w:hAnsi="Times New Roman" w:cs="Times New Roman" w:hint="eastAsia"/>
          <w:b/>
          <w:bCs/>
          <w:sz w:val="21"/>
          <w:szCs w:val="21"/>
        </w:rPr>
        <w:t>Conclusions</w:t>
      </w:r>
    </w:p>
    <w:p w14:paraId="34D9A29D"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sz w:val="21"/>
          <w:szCs w:val="21"/>
        </w:rPr>
        <w:lastRenderedPageBreak/>
        <w:t>This study establishes the Prognostic Nutritional Index as an independent, graded predictor of both short‑ and long‑term mortality in pulmonary hypertension, underscoring the critical role of nutritional status in shaping patient outcomes. Our findings sup</w:t>
      </w:r>
      <w:r w:rsidRPr="00D7612E">
        <w:rPr>
          <w:rFonts w:ascii="Times New Roman" w:hAnsi="Times New Roman" w:cs="Times New Roman" w:hint="eastAsia"/>
          <w:sz w:val="21"/>
          <w:szCs w:val="21"/>
        </w:rPr>
        <w:t>port the integration of PNI into admission nutritional screening for precise risk stratification and the early initiation of individualized nutritional interventions. By offering validated thresholds and demonstrating synergy with existing severity scores, this work aligns with BMC Pulmonary Medicine</w:t>
      </w:r>
      <w:proofErr w:type="gramStart"/>
      <w:r w:rsidRPr="00D7612E">
        <w:rPr>
          <w:rFonts w:ascii="Times New Roman" w:hAnsi="Times New Roman" w:cs="Times New Roman" w:hint="eastAsia"/>
          <w:sz w:val="21"/>
          <w:szCs w:val="21"/>
        </w:rPr>
        <w:t>’</w:t>
      </w:r>
      <w:proofErr w:type="gramEnd"/>
      <w:r w:rsidRPr="00D7612E">
        <w:rPr>
          <w:rFonts w:ascii="Times New Roman" w:hAnsi="Times New Roman" w:cs="Times New Roman" w:hint="eastAsia"/>
          <w:sz w:val="21"/>
          <w:szCs w:val="21"/>
        </w:rPr>
        <w:t>s mission to publish research that improves the diagnosis, management, and understanding of pulmonary vascular and respiratory diseases.</w:t>
      </w:r>
    </w:p>
    <w:p w14:paraId="1C402380" w14:textId="77777777" w:rsidR="00D7612E" w:rsidRPr="00D7612E" w:rsidRDefault="00D7612E" w:rsidP="00D7612E">
      <w:pPr>
        <w:rPr>
          <w:rFonts w:ascii="Times New Roman" w:hAnsi="Times New Roman" w:cs="Times New Roman" w:hint="eastAsia"/>
          <w:sz w:val="21"/>
          <w:szCs w:val="21"/>
        </w:rPr>
      </w:pPr>
    </w:p>
    <w:p w14:paraId="639E9D65"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We confirm that this manuscript is original, has not been published elsewhere, and is not under consideration by another journal. All authors have approved the submission and declare no competing interests. We appreciate the opportunity to contribute to BMC Pulmonary Medicine and welcome any feedback. Please direct correspondence to me at xiaoyunbinrui@126.com.</w:t>
      </w:r>
    </w:p>
    <w:p w14:paraId="570918DC" w14:textId="77777777" w:rsidR="00D7612E" w:rsidRPr="00D7612E" w:rsidRDefault="00D7612E" w:rsidP="00D7612E">
      <w:pPr>
        <w:rPr>
          <w:rFonts w:ascii="Times New Roman" w:hAnsi="Times New Roman" w:cs="Times New Roman" w:hint="eastAsia"/>
          <w:sz w:val="21"/>
          <w:szCs w:val="21"/>
        </w:rPr>
      </w:pPr>
    </w:p>
    <w:p w14:paraId="130BA2B7" w14:textId="77777777" w:rsidR="00D7612E" w:rsidRPr="00D7612E" w:rsidRDefault="00D7612E" w:rsidP="00D7612E">
      <w:pPr>
        <w:rPr>
          <w:rFonts w:ascii="Times New Roman" w:hAnsi="Times New Roman" w:cs="Times New Roman" w:hint="eastAsia"/>
          <w:b/>
          <w:bCs/>
          <w:sz w:val="21"/>
          <w:szCs w:val="21"/>
        </w:rPr>
      </w:pPr>
      <w:r w:rsidRPr="00D7612E">
        <w:rPr>
          <w:rFonts w:ascii="Times New Roman" w:hAnsi="Times New Roman" w:cs="Times New Roman" w:hint="eastAsia"/>
          <w:b/>
          <w:bCs/>
          <w:sz w:val="21"/>
          <w:szCs w:val="21"/>
        </w:rPr>
        <w:t>Thank you for considering our work.</w:t>
      </w:r>
    </w:p>
    <w:p w14:paraId="406E0472" w14:textId="77777777" w:rsidR="00D7612E" w:rsidRPr="00D7612E" w:rsidRDefault="00D7612E" w:rsidP="00D7612E">
      <w:pPr>
        <w:rPr>
          <w:rFonts w:ascii="Times New Roman" w:hAnsi="Times New Roman" w:cs="Times New Roman" w:hint="eastAsia"/>
          <w:sz w:val="21"/>
          <w:szCs w:val="21"/>
        </w:rPr>
      </w:pPr>
    </w:p>
    <w:p w14:paraId="57AD6B92"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Sincerely,</w:t>
      </w:r>
    </w:p>
    <w:p w14:paraId="330497EE"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Dr. Yunbin Xiao, M.D.</w:t>
      </w:r>
    </w:p>
    <w:p w14:paraId="524561C6"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Corresponding Author</w:t>
      </w:r>
    </w:p>
    <w:p w14:paraId="4AC4BA60"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 xml:space="preserve">Department of Cardiology, The Affiliated Children's Hospital of </w:t>
      </w:r>
      <w:proofErr w:type="spellStart"/>
      <w:r w:rsidRPr="00D7612E">
        <w:rPr>
          <w:rFonts w:ascii="Times New Roman" w:hAnsi="Times New Roman" w:cs="Times New Roman" w:hint="eastAsia"/>
          <w:sz w:val="21"/>
          <w:szCs w:val="21"/>
        </w:rPr>
        <w:t>Xiangya</w:t>
      </w:r>
      <w:proofErr w:type="spellEnd"/>
      <w:r w:rsidRPr="00D7612E">
        <w:rPr>
          <w:rFonts w:ascii="Times New Roman" w:hAnsi="Times New Roman" w:cs="Times New Roman" w:hint="eastAsia"/>
          <w:sz w:val="21"/>
          <w:szCs w:val="21"/>
        </w:rPr>
        <w:t xml:space="preserve"> School of Medicine, Central South University (Hunan Children's Hospital)</w:t>
      </w:r>
    </w:p>
    <w:p w14:paraId="782EDFB8"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Changsha, Hunan, China</w:t>
      </w:r>
    </w:p>
    <w:p w14:paraId="394996CC" w14:textId="77777777" w:rsidR="00D7612E" w:rsidRPr="00D7612E" w:rsidRDefault="00D7612E" w:rsidP="00D7612E">
      <w:pPr>
        <w:rPr>
          <w:rFonts w:ascii="Times New Roman" w:hAnsi="Times New Roman" w:cs="Times New Roman" w:hint="eastAsia"/>
          <w:sz w:val="21"/>
          <w:szCs w:val="21"/>
        </w:rPr>
      </w:pPr>
      <w:r w:rsidRPr="00D7612E">
        <w:rPr>
          <w:rFonts w:ascii="Times New Roman" w:hAnsi="Times New Roman" w:cs="Times New Roman" w:hint="eastAsia"/>
          <w:sz w:val="21"/>
          <w:szCs w:val="21"/>
        </w:rPr>
        <w:t>Email: xiaoyunbinrui@126.com</w:t>
      </w:r>
    </w:p>
    <w:p w14:paraId="206AACC2" w14:textId="572ADAD0" w:rsidR="00DA2836" w:rsidRPr="00D7612E" w:rsidRDefault="00D7612E" w:rsidP="00D7612E">
      <w:r w:rsidRPr="00D7612E">
        <w:rPr>
          <w:rFonts w:ascii="Times New Roman" w:hAnsi="Times New Roman" w:cs="Times New Roman" w:hint="eastAsia"/>
          <w:sz w:val="21"/>
          <w:szCs w:val="21"/>
        </w:rPr>
        <w:t>Date: 2026-05-22</w:t>
      </w:r>
    </w:p>
    <w:sectPr w:rsidR="00DA2836" w:rsidRPr="00D761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1D71C" w14:textId="77777777" w:rsidR="00124F8D" w:rsidRDefault="00124F8D" w:rsidP="00DE12F3">
      <w:pPr>
        <w:spacing w:after="0" w:line="240" w:lineRule="auto"/>
        <w:rPr>
          <w:rFonts w:hint="eastAsia"/>
        </w:rPr>
      </w:pPr>
      <w:r>
        <w:separator/>
      </w:r>
    </w:p>
  </w:endnote>
  <w:endnote w:type="continuationSeparator" w:id="0">
    <w:p w14:paraId="0D48ED4B" w14:textId="77777777" w:rsidR="00124F8D" w:rsidRDefault="00124F8D" w:rsidP="00DE12F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CDAC9" w14:textId="77777777" w:rsidR="00124F8D" w:rsidRDefault="00124F8D" w:rsidP="00DE12F3">
      <w:pPr>
        <w:spacing w:after="0" w:line="240" w:lineRule="auto"/>
        <w:rPr>
          <w:rFonts w:hint="eastAsia"/>
        </w:rPr>
      </w:pPr>
      <w:r>
        <w:separator/>
      </w:r>
    </w:p>
  </w:footnote>
  <w:footnote w:type="continuationSeparator" w:id="0">
    <w:p w14:paraId="5A0486E1" w14:textId="77777777" w:rsidR="00124F8D" w:rsidRDefault="00124F8D" w:rsidP="00DE12F3">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8E2"/>
    <w:rsid w:val="00035C94"/>
    <w:rsid w:val="000A413D"/>
    <w:rsid w:val="00124F8D"/>
    <w:rsid w:val="001D37DE"/>
    <w:rsid w:val="0025252D"/>
    <w:rsid w:val="007138E2"/>
    <w:rsid w:val="008A2223"/>
    <w:rsid w:val="009A5140"/>
    <w:rsid w:val="00A00B0E"/>
    <w:rsid w:val="00A13911"/>
    <w:rsid w:val="00A52D34"/>
    <w:rsid w:val="00A97101"/>
    <w:rsid w:val="00B33F5B"/>
    <w:rsid w:val="00D7612E"/>
    <w:rsid w:val="00DA2836"/>
    <w:rsid w:val="00DE12F3"/>
    <w:rsid w:val="00E03B53"/>
    <w:rsid w:val="00E16C9D"/>
    <w:rsid w:val="00F51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8EEB0"/>
  <w15:chartTrackingRefBased/>
  <w15:docId w15:val="{FA4D3D8B-6BC1-44A9-9EE2-D73909CC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138E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138E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138E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138E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138E2"/>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138E2"/>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138E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138E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138E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138E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138E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138E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138E2"/>
    <w:rPr>
      <w:rFonts w:cstheme="majorBidi"/>
      <w:color w:val="2F5496" w:themeColor="accent1" w:themeShade="BF"/>
      <w:sz w:val="28"/>
      <w:szCs w:val="28"/>
    </w:rPr>
  </w:style>
  <w:style w:type="character" w:customStyle="1" w:styleId="50">
    <w:name w:val="标题 5 字符"/>
    <w:basedOn w:val="a0"/>
    <w:link w:val="5"/>
    <w:uiPriority w:val="9"/>
    <w:semiHidden/>
    <w:rsid w:val="007138E2"/>
    <w:rPr>
      <w:rFonts w:cstheme="majorBidi"/>
      <w:color w:val="2F5496" w:themeColor="accent1" w:themeShade="BF"/>
      <w:sz w:val="24"/>
    </w:rPr>
  </w:style>
  <w:style w:type="character" w:customStyle="1" w:styleId="60">
    <w:name w:val="标题 6 字符"/>
    <w:basedOn w:val="a0"/>
    <w:link w:val="6"/>
    <w:uiPriority w:val="9"/>
    <w:semiHidden/>
    <w:rsid w:val="007138E2"/>
    <w:rPr>
      <w:rFonts w:cstheme="majorBidi"/>
      <w:b/>
      <w:bCs/>
      <w:color w:val="2F5496" w:themeColor="accent1" w:themeShade="BF"/>
    </w:rPr>
  </w:style>
  <w:style w:type="character" w:customStyle="1" w:styleId="70">
    <w:name w:val="标题 7 字符"/>
    <w:basedOn w:val="a0"/>
    <w:link w:val="7"/>
    <w:uiPriority w:val="9"/>
    <w:semiHidden/>
    <w:rsid w:val="007138E2"/>
    <w:rPr>
      <w:rFonts w:cstheme="majorBidi"/>
      <w:b/>
      <w:bCs/>
      <w:color w:val="595959" w:themeColor="text1" w:themeTint="A6"/>
    </w:rPr>
  </w:style>
  <w:style w:type="character" w:customStyle="1" w:styleId="80">
    <w:name w:val="标题 8 字符"/>
    <w:basedOn w:val="a0"/>
    <w:link w:val="8"/>
    <w:uiPriority w:val="9"/>
    <w:semiHidden/>
    <w:rsid w:val="007138E2"/>
    <w:rPr>
      <w:rFonts w:cstheme="majorBidi"/>
      <w:color w:val="595959" w:themeColor="text1" w:themeTint="A6"/>
    </w:rPr>
  </w:style>
  <w:style w:type="character" w:customStyle="1" w:styleId="90">
    <w:name w:val="标题 9 字符"/>
    <w:basedOn w:val="a0"/>
    <w:link w:val="9"/>
    <w:uiPriority w:val="9"/>
    <w:semiHidden/>
    <w:rsid w:val="007138E2"/>
    <w:rPr>
      <w:rFonts w:eastAsiaTheme="majorEastAsia" w:cstheme="majorBidi"/>
      <w:color w:val="595959" w:themeColor="text1" w:themeTint="A6"/>
    </w:rPr>
  </w:style>
  <w:style w:type="paragraph" w:styleId="a3">
    <w:name w:val="Title"/>
    <w:basedOn w:val="a"/>
    <w:next w:val="a"/>
    <w:link w:val="a4"/>
    <w:uiPriority w:val="10"/>
    <w:qFormat/>
    <w:rsid w:val="007138E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138E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138E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138E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138E2"/>
    <w:pPr>
      <w:spacing w:before="160"/>
      <w:jc w:val="center"/>
    </w:pPr>
    <w:rPr>
      <w:i/>
      <w:iCs/>
      <w:color w:val="404040" w:themeColor="text1" w:themeTint="BF"/>
    </w:rPr>
  </w:style>
  <w:style w:type="character" w:customStyle="1" w:styleId="a8">
    <w:name w:val="引用 字符"/>
    <w:basedOn w:val="a0"/>
    <w:link w:val="a7"/>
    <w:uiPriority w:val="29"/>
    <w:rsid w:val="007138E2"/>
    <w:rPr>
      <w:i/>
      <w:iCs/>
      <w:color w:val="404040" w:themeColor="text1" w:themeTint="BF"/>
    </w:rPr>
  </w:style>
  <w:style w:type="paragraph" w:styleId="a9">
    <w:name w:val="List Paragraph"/>
    <w:basedOn w:val="a"/>
    <w:uiPriority w:val="34"/>
    <w:qFormat/>
    <w:rsid w:val="007138E2"/>
    <w:pPr>
      <w:ind w:left="720"/>
      <w:contextualSpacing/>
    </w:pPr>
  </w:style>
  <w:style w:type="character" w:styleId="aa">
    <w:name w:val="Intense Emphasis"/>
    <w:basedOn w:val="a0"/>
    <w:uiPriority w:val="21"/>
    <w:qFormat/>
    <w:rsid w:val="007138E2"/>
    <w:rPr>
      <w:i/>
      <w:iCs/>
      <w:color w:val="2F5496" w:themeColor="accent1" w:themeShade="BF"/>
    </w:rPr>
  </w:style>
  <w:style w:type="paragraph" w:styleId="ab">
    <w:name w:val="Intense Quote"/>
    <w:basedOn w:val="a"/>
    <w:next w:val="a"/>
    <w:link w:val="ac"/>
    <w:uiPriority w:val="30"/>
    <w:qFormat/>
    <w:rsid w:val="007138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138E2"/>
    <w:rPr>
      <w:i/>
      <w:iCs/>
      <w:color w:val="2F5496" w:themeColor="accent1" w:themeShade="BF"/>
    </w:rPr>
  </w:style>
  <w:style w:type="character" w:styleId="ad">
    <w:name w:val="Intense Reference"/>
    <w:basedOn w:val="a0"/>
    <w:uiPriority w:val="32"/>
    <w:qFormat/>
    <w:rsid w:val="007138E2"/>
    <w:rPr>
      <w:b/>
      <w:bCs/>
      <w:smallCaps/>
      <w:color w:val="2F5496" w:themeColor="accent1" w:themeShade="BF"/>
      <w:spacing w:val="5"/>
    </w:rPr>
  </w:style>
  <w:style w:type="paragraph" w:styleId="ae">
    <w:name w:val="header"/>
    <w:basedOn w:val="a"/>
    <w:link w:val="af"/>
    <w:uiPriority w:val="99"/>
    <w:unhideWhenUsed/>
    <w:rsid w:val="00DE12F3"/>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DE12F3"/>
    <w:rPr>
      <w:sz w:val="18"/>
      <w:szCs w:val="18"/>
    </w:rPr>
  </w:style>
  <w:style w:type="paragraph" w:styleId="af0">
    <w:name w:val="footer"/>
    <w:basedOn w:val="a"/>
    <w:link w:val="af1"/>
    <w:uiPriority w:val="99"/>
    <w:unhideWhenUsed/>
    <w:rsid w:val="00DE12F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DE12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958</Words>
  <Characters>5465</Characters>
  <Application>Microsoft Office Word</Application>
  <DocSecurity>0</DocSecurity>
  <Lines>45</Lines>
  <Paragraphs>12</Paragraphs>
  <ScaleCrop>false</ScaleCrop>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Jinhua Zhu</dc:creator>
  <cp:keywords/>
  <dc:description/>
  <cp:lastModifiedBy>Jinhua Zhu</cp:lastModifiedBy>
  <cp:revision>4</cp:revision>
  <cp:lastPrinted>2026-05-19T11:04:00Z</cp:lastPrinted>
  <dcterms:created xsi:type="dcterms:W3CDTF">2026-05-17T03:33:00Z</dcterms:created>
  <dcterms:modified xsi:type="dcterms:W3CDTF">2026-05-22T08:37:00Z</dcterms:modified>
</cp:coreProperties>
</file>